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Sample Business Document</w:t>
      </w:r>
    </w:p>
    <w:p>
      <w:r>
        <w:t>Published by Pine &amp; Birch · pine-and-birch.com/sample-files</w:t>
      </w:r>
    </w:p>
    <w:p>
      <w:pPr>
        <w:pStyle w:val="Heading1"/>
      </w:pPr>
      <w:r>
        <w:t>1. Section 1</w:t>
      </w:r>
    </w:p>
    <w:p>
      <w:r>
        <w:t>This is a sample document published by Pine &amp; Birch, a technology consulting firm in Toronto. It exists so that developers, QA testers, and product teams have a realistic file to use when testing uploads, previews, conversions, and integrations. Everything in it is fictional and free to use for any purpose.</w:t>
      </w:r>
    </w:p>
    <w:p>
      <w:r>
        <w:t>A good test document mixes the structures real users produce: headings at several levels, ordinary paragraphs, bulleted and numbered lists, a data table, an embedded image, and page breaks. Parsers and previewers that handle this file cleanly will handle most documents your customers upload.</w:t>
      </w:r>
    </w:p>
    <w:p>
      <w:pPr>
        <w:pStyle w:val="Heading2"/>
      </w:pPr>
      <w:r>
        <w:t>Key points</w:t>
      </w:r>
    </w:p>
    <w:p>
      <w:pPr>
        <w:pStyle w:val="ListBullet"/>
      </w:pPr>
      <w:r>
        <w:t>Realistic structure: headings, lists, tables, and images</w:t>
      </w:r>
    </w:p>
    <w:p>
      <w:pPr>
        <w:pStyle w:val="ListBullet"/>
      </w:pPr>
      <w:r>
        <w:t>Deterministic content — identical on every download</w:t>
      </w:r>
    </w:p>
    <w:p>
      <w:pPr>
        <w:pStyle w:val="ListBullet"/>
      </w:pPr>
      <w:r>
        <w:t>Unicode, smart quotes, and currency symbols included</w:t>
      </w:r>
    </w:p>
    <w:p>
      <w:pPr>
        <w:pStyle w:val="ListBullet"/>
      </w:pPr>
      <w:r>
        <w:t>No macros, no scripts, no tracking of any kind</w:t>
      </w:r>
    </w:p>
    <w:p>
      <w:pPr>
        <w:pStyle w:val="ListBullet"/>
      </w:pPr>
      <w:r>
        <w:t>Free for any use, no attribution required</w:t>
      </w:r>
    </w:p>
    <w:p>
      <w:pPr>
        <w:pStyle w:val="Heading2"/>
      </w:pPr>
      <w:r>
        <w:t>How to use this file</w:t>
      </w:r>
    </w:p>
    <w:p>
      <w:pPr>
        <w:pStyle w:val="ListNumber"/>
      </w:pPr>
      <w:r>
        <w:t>Download the file size that matches your test case.</w:t>
      </w:r>
    </w:p>
    <w:p>
      <w:pPr>
        <w:pStyle w:val="ListNumber"/>
      </w:pPr>
      <w:r>
        <w:t>Upload it to the system under test, or pass its path to your parser.</w:t>
      </w:r>
    </w:p>
    <w:p>
      <w:pPr>
        <w:pStyle w:val="ListNumber"/>
      </w:pPr>
      <w:r>
        <w:t>Compare the extracted text, page count, and metadata with the values shown on the download page.</w:t>
      </w:r>
    </w:p>
    <w:p>
      <w:pPr>
        <w:pStyle w:val="ListNumber"/>
      </w:pPr>
      <w:r>
        <w:t>Keep the file in your repository as a fixture; it will not change.</w:t>
      </w:r>
    </w:p>
    <w:p>
      <w:r>
        <w:t>The table below shows fictional quarterly figures for a small distribution company. Values are deterministic, so the same file downloaded twice is byte-for-byte identical, which makes it safe to use as a fixture in automated tests and checksums.</w:t>
      </w:r>
    </w:p>
    <w:p>
      <w:r>
        <w:t>When testing a document-processing pipeline, check the details that break silently: non-ASCII characters such as café, naïve, and Zürich; smart quotes like “this” and ‘that’; currency symbols (€, £, ¥); and long words that force line wrapping in narrow columns.</w:t>
      </w:r>
    </w:p>
    <w:p>
      <w:r>
        <w:t>Accessibility matters even in test data. This document uses real heading styles rather than bold text, so screen readers and converters can build a proper outline from it. The image includes alternative text, and the table has a header row.</w:t>
      </w:r>
    </w:p>
    <w:p>
      <w:r>
        <w:t>Nothing here should be treated as a template for legal, financial, or medical documents. It is a fixture — a stable, known input that lets you verify that the rest of your system behaves correctly.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440"/>
        <w:gridCol w:w="1440"/>
        <w:gridCol w:w="1440"/>
        <w:gridCol w:w="1440"/>
        <w:gridCol w:w="1440"/>
        <w:gridCol w:w="1440"/>
      </w:tblGrid>
      <w:tr>
        <w:tc>
          <w:tcPr>
            <w:tcW w:type="dxa" w:w="1440"/>
          </w:tcPr>
          <w:p>
            <w:r>
              <w:rPr>
                <w:sz w:val="18"/>
              </w:rPr>
              <w:t>Order ID</w:t>
            </w:r>
          </w:p>
        </w:tc>
        <w:tc>
          <w:tcPr>
            <w:tcW w:type="dxa" w:w="1440"/>
          </w:tcPr>
          <w:p>
            <w:r>
              <w:rPr>
                <w:sz w:val="18"/>
              </w:rPr>
              <w:t>Date</w:t>
            </w:r>
          </w:p>
        </w:tc>
        <w:tc>
          <w:tcPr>
            <w:tcW w:type="dxa" w:w="1440"/>
          </w:tcPr>
          <w:p>
            <w:r>
              <w:rPr>
                <w:sz w:val="18"/>
              </w:rPr>
              <w:t>Customer</w:t>
            </w:r>
          </w:p>
        </w:tc>
        <w:tc>
          <w:tcPr>
            <w:tcW w:type="dxa" w:w="1440"/>
          </w:tcPr>
          <w:p>
            <w:r>
              <w:rPr>
                <w:sz w:val="18"/>
              </w:rPr>
              <w:t>Product</w:t>
            </w:r>
          </w:p>
        </w:tc>
        <w:tc>
          <w:tcPr>
            <w:tcW w:type="dxa" w:w="1440"/>
          </w:tcPr>
          <w:p>
            <w:r>
              <w:rPr>
                <w:sz w:val="18"/>
              </w:rPr>
              <w:t>Qty</w:t>
            </w:r>
          </w:p>
        </w:tc>
        <w:tc>
          <w:tcPr>
            <w:tcW w:type="dxa" w:w="1440"/>
          </w:tcPr>
          <w:p>
            <w:r>
              <w:rPr>
                <w:sz w:val="18"/>
              </w:rPr>
              <w:t>Total</w:t>
            </w:r>
          </w:p>
        </w:tc>
      </w:tr>
      <w:tr>
        <w:tc>
          <w:tcPr>
            <w:tcW w:type="dxa" w:w="1440"/>
          </w:tcPr>
          <w:p>
            <w:r>
              <w:rPr>
                <w:sz w:val="18"/>
              </w:rPr>
              <w:t>PB-100001</w:t>
            </w:r>
          </w:p>
        </w:tc>
        <w:tc>
          <w:tcPr>
            <w:tcW w:type="dxa" w:w="1440"/>
          </w:tcPr>
          <w:p>
            <w:r>
              <w:rPr>
                <w:sz w:val="18"/>
              </w:rPr>
              <w:t>2025-07-03</w:t>
            </w:r>
          </w:p>
        </w:tc>
        <w:tc>
          <w:tcPr>
            <w:tcW w:type="dxa" w:w="1440"/>
          </w:tcPr>
          <w:p>
            <w:r>
              <w:rPr>
                <w:sz w:val="18"/>
              </w:rPr>
              <w:t>Birchwood Interiors</w:t>
            </w:r>
          </w:p>
        </w:tc>
        <w:tc>
          <w:tcPr>
            <w:tcW w:type="dxa" w:w="1440"/>
          </w:tcPr>
          <w:p>
            <w:r>
              <w:rPr>
                <w:sz w:val="18"/>
              </w:rPr>
              <w:t>Label Printer</w:t>
            </w:r>
          </w:p>
        </w:tc>
        <w:tc>
          <w:tcPr>
            <w:tcW w:type="dxa" w:w="1440"/>
          </w:tcPr>
          <w:p>
            <w:r>
              <w:rPr>
                <w:sz w:val="18"/>
              </w:rPr>
              <w:t>12</w:t>
            </w:r>
          </w:p>
        </w:tc>
        <w:tc>
          <w:tcPr>
            <w:tcW w:type="dxa" w:w="1440"/>
          </w:tcPr>
          <w:p>
            <w:r>
              <w:rPr>
                <w:sz w:val="18"/>
              </w:rPr>
              <w:t>$2,226.00</w:t>
            </w:r>
          </w:p>
        </w:tc>
      </w:tr>
      <w:tr>
        <w:tc>
          <w:tcPr>
            <w:tcW w:type="dxa" w:w="1440"/>
          </w:tcPr>
          <w:p>
            <w:r>
              <w:rPr>
                <w:sz w:val="18"/>
              </w:rPr>
              <w:t>PB-100002</w:t>
            </w:r>
          </w:p>
        </w:tc>
        <w:tc>
          <w:tcPr>
            <w:tcW w:type="dxa" w:w="1440"/>
          </w:tcPr>
          <w:p>
            <w:r>
              <w:rPr>
                <w:sz w:val="18"/>
              </w:rPr>
              <w:t>2025-01-27</w:t>
            </w:r>
          </w:p>
        </w:tc>
        <w:tc>
          <w:tcPr>
            <w:tcW w:type="dxa" w:w="1440"/>
          </w:tcPr>
          <w:p>
            <w:r>
              <w:rPr>
                <w:sz w:val="18"/>
              </w:rPr>
              <w:t>Harbourfront Textiles</w:t>
            </w:r>
          </w:p>
        </w:tc>
        <w:tc>
          <w:tcPr>
            <w:tcW w:type="dxa" w:w="1440"/>
          </w:tcPr>
          <w:p>
            <w:r>
              <w:rPr>
                <w:sz w:val="18"/>
              </w:rPr>
              <w:t>Warehouse Scanner</w:t>
            </w:r>
          </w:p>
        </w:tc>
        <w:tc>
          <w:tcPr>
            <w:tcW w:type="dxa" w:w="1440"/>
          </w:tcPr>
          <w:p>
            <w:r>
              <w:rPr>
                <w:sz w:val="18"/>
              </w:rPr>
              <w:t>11</w:t>
            </w:r>
          </w:p>
        </w:tc>
        <w:tc>
          <w:tcPr>
            <w:tcW w:type="dxa" w:w="1440"/>
          </w:tcPr>
          <w:p>
            <w:r>
              <w:rPr>
                <w:sz w:val="18"/>
              </w:rPr>
              <w:t>$3,520.00</w:t>
            </w:r>
          </w:p>
        </w:tc>
      </w:tr>
      <w:tr>
        <w:tc>
          <w:tcPr>
            <w:tcW w:type="dxa" w:w="1440"/>
          </w:tcPr>
          <w:p>
            <w:r>
              <w:rPr>
                <w:sz w:val="18"/>
              </w:rPr>
              <w:t>PB-100003</w:t>
            </w:r>
          </w:p>
        </w:tc>
        <w:tc>
          <w:tcPr>
            <w:tcW w:type="dxa" w:w="1440"/>
          </w:tcPr>
          <w:p>
            <w:r>
              <w:rPr>
                <w:sz w:val="18"/>
              </w:rPr>
              <w:t>2025-07-14</w:t>
            </w:r>
          </w:p>
        </w:tc>
        <w:tc>
          <w:tcPr>
            <w:tcW w:type="dxa" w:w="1440"/>
          </w:tcPr>
          <w:p>
            <w:r>
              <w:rPr>
                <w:sz w:val="18"/>
              </w:rPr>
              <w:t>Silverline Freight</w:t>
            </w:r>
          </w:p>
        </w:tc>
        <w:tc>
          <w:tcPr>
            <w:tcW w:type="dxa" w:w="1440"/>
          </w:tcPr>
          <w:p>
            <w:r>
              <w:rPr>
                <w:sz w:val="18"/>
              </w:rPr>
              <w:t>Data Migration</w:t>
            </w:r>
          </w:p>
        </w:tc>
        <w:tc>
          <w:tcPr>
            <w:tcW w:type="dxa" w:w="1440"/>
          </w:tcPr>
          <w:p>
            <w:r>
              <w:rPr>
                <w:sz w:val="18"/>
              </w:rPr>
              <w:t>4</w:t>
            </w:r>
          </w:p>
        </w:tc>
        <w:tc>
          <w:tcPr>
            <w:tcW w:type="dxa" w:w="1440"/>
          </w:tcPr>
          <w:p>
            <w:r>
              <w:rPr>
                <w:sz w:val="18"/>
              </w:rPr>
              <w:t>$9,600.00</w:t>
            </w:r>
          </w:p>
        </w:tc>
      </w:tr>
      <w:tr>
        <w:tc>
          <w:tcPr>
            <w:tcW w:type="dxa" w:w="1440"/>
          </w:tcPr>
          <w:p>
            <w:r>
              <w:rPr>
                <w:sz w:val="18"/>
              </w:rPr>
              <w:t>PB-100004</w:t>
            </w:r>
          </w:p>
        </w:tc>
        <w:tc>
          <w:tcPr>
            <w:tcW w:type="dxa" w:w="1440"/>
          </w:tcPr>
          <w:p>
            <w:r>
              <w:rPr>
                <w:sz w:val="18"/>
              </w:rPr>
              <w:t>2025-04-21</w:t>
            </w:r>
          </w:p>
        </w:tc>
        <w:tc>
          <w:tcPr>
            <w:tcW w:type="dxa" w:w="1440"/>
          </w:tcPr>
          <w:p>
            <w:r>
              <w:rPr>
                <w:sz w:val="18"/>
              </w:rPr>
              <w:t>Lakeshore Medical Supply</w:t>
            </w:r>
          </w:p>
        </w:tc>
        <w:tc>
          <w:tcPr>
            <w:tcW w:type="dxa" w:w="1440"/>
          </w:tcPr>
          <w:p>
            <w:r>
              <w:rPr>
                <w:sz w:val="18"/>
              </w:rPr>
              <w:t>Warehouse Scanner</w:t>
            </w:r>
          </w:p>
        </w:tc>
        <w:tc>
          <w:tcPr>
            <w:tcW w:type="dxa" w:w="1440"/>
          </w:tcPr>
          <w:p>
            <w:r>
              <w:rPr>
                <w:sz w:val="18"/>
              </w:rPr>
              <w:t>1</w:t>
            </w:r>
          </w:p>
        </w:tc>
        <w:tc>
          <w:tcPr>
            <w:tcW w:type="dxa" w:w="1440"/>
          </w:tcPr>
          <w:p>
            <w:r>
              <w:rPr>
                <w:sz w:val="18"/>
              </w:rPr>
              <w:t>$320.00</w:t>
            </w:r>
          </w:p>
        </w:tc>
      </w:tr>
      <w:tr>
        <w:tc>
          <w:tcPr>
            <w:tcW w:type="dxa" w:w="1440"/>
          </w:tcPr>
          <w:p>
            <w:r>
              <w:rPr>
                <w:sz w:val="18"/>
              </w:rPr>
              <w:t>PB-100005</w:t>
            </w:r>
          </w:p>
        </w:tc>
        <w:tc>
          <w:tcPr>
            <w:tcW w:type="dxa" w:w="1440"/>
          </w:tcPr>
          <w:p>
            <w:r>
              <w:rPr>
                <w:sz w:val="18"/>
              </w:rPr>
              <w:t>2025-02-06</w:t>
            </w:r>
          </w:p>
        </w:tc>
        <w:tc>
          <w:tcPr>
            <w:tcW w:type="dxa" w:w="1440"/>
          </w:tcPr>
          <w:p>
            <w:r>
              <w:rPr>
                <w:sz w:val="18"/>
              </w:rPr>
              <w:t>Harbourfront Textiles</w:t>
            </w:r>
          </w:p>
        </w:tc>
        <w:tc>
          <w:tcPr>
            <w:tcW w:type="dxa" w:w="1440"/>
          </w:tcPr>
          <w:p>
            <w:r>
              <w:rPr>
                <w:sz w:val="18"/>
              </w:rPr>
              <w:t>API Add-on</w:t>
            </w:r>
          </w:p>
        </w:tc>
        <w:tc>
          <w:tcPr>
            <w:tcW w:type="dxa" w:w="1440"/>
          </w:tcPr>
          <w:p>
            <w:r>
              <w:rPr>
                <w:sz w:val="18"/>
              </w:rPr>
              <w:t>3</w:t>
            </w:r>
          </w:p>
        </w:tc>
        <w:tc>
          <w:tcPr>
            <w:tcW w:type="dxa" w:w="1440"/>
          </w:tcPr>
          <w:p>
            <w:r>
              <w:rPr>
                <w:sz w:val="18"/>
              </w:rPr>
              <w:t>$297.00</w:t>
            </w:r>
          </w:p>
        </w:tc>
      </w:tr>
      <w:tr>
        <w:tc>
          <w:tcPr>
            <w:tcW w:type="dxa" w:w="1440"/>
          </w:tcPr>
          <w:p>
            <w:r>
              <w:rPr>
                <w:sz w:val="18"/>
              </w:rPr>
              <w:t>PB-100006</w:t>
            </w:r>
          </w:p>
        </w:tc>
        <w:tc>
          <w:tcPr>
            <w:tcW w:type="dxa" w:w="1440"/>
          </w:tcPr>
          <w:p>
            <w:r>
              <w:rPr>
                <w:sz w:val="18"/>
              </w:rPr>
              <w:t>2025-01-03</w:t>
            </w:r>
          </w:p>
        </w:tc>
        <w:tc>
          <w:tcPr>
            <w:tcW w:type="dxa" w:w="1440"/>
          </w:tcPr>
          <w:p>
            <w:r>
              <w:rPr>
                <w:sz w:val="18"/>
              </w:rPr>
              <w:t>Cedar &amp; Co. Furniture</w:t>
            </w:r>
          </w:p>
        </w:tc>
        <w:tc>
          <w:tcPr>
            <w:tcW w:type="dxa" w:w="1440"/>
          </w:tcPr>
          <w:p>
            <w:r>
              <w:rPr>
                <w:sz w:val="18"/>
              </w:rPr>
              <w:t>Support Plan (Monthly)</w:t>
            </w:r>
          </w:p>
        </w:tc>
        <w:tc>
          <w:tcPr>
            <w:tcW w:type="dxa" w:w="1440"/>
          </w:tcPr>
          <w:p>
            <w:r>
              <w:rPr>
                <w:sz w:val="18"/>
              </w:rPr>
              <w:t>1</w:t>
            </w:r>
          </w:p>
        </w:tc>
        <w:tc>
          <w:tcPr>
            <w:tcW w:type="dxa" w:w="1440"/>
          </w:tcPr>
          <w:p>
            <w:r>
              <w:rPr>
                <w:sz w:val="18"/>
              </w:rPr>
              <w:t>$450.00</w:t>
            </w:r>
          </w:p>
        </w:tc>
      </w:tr>
      <w:tr>
        <w:tc>
          <w:tcPr>
            <w:tcW w:type="dxa" w:w="1440"/>
          </w:tcPr>
          <w:p>
            <w:r>
              <w:rPr>
                <w:sz w:val="18"/>
              </w:rPr>
              <w:t>PB-100007</w:t>
            </w:r>
          </w:p>
        </w:tc>
        <w:tc>
          <w:tcPr>
            <w:tcW w:type="dxa" w:w="1440"/>
          </w:tcPr>
          <w:p>
            <w:r>
              <w:rPr>
                <w:sz w:val="18"/>
              </w:rPr>
              <w:t>2025-06-10</w:t>
            </w:r>
          </w:p>
        </w:tc>
        <w:tc>
          <w:tcPr>
            <w:tcW w:type="dxa" w:w="1440"/>
          </w:tcPr>
          <w:p>
            <w:r>
              <w:rPr>
                <w:sz w:val="18"/>
              </w:rPr>
              <w:t>Cedar &amp; Co. Furniture</w:t>
            </w:r>
          </w:p>
        </w:tc>
        <w:tc>
          <w:tcPr>
            <w:tcW w:type="dxa" w:w="1440"/>
          </w:tcPr>
          <w:p>
            <w:r>
              <w:rPr>
                <w:sz w:val="18"/>
              </w:rPr>
              <w:t>Support Plan (Monthly)</w:t>
            </w:r>
          </w:p>
        </w:tc>
        <w:tc>
          <w:tcPr>
            <w:tcW w:type="dxa" w:w="1440"/>
          </w:tcPr>
          <w:p>
            <w:r>
              <w:rPr>
                <w:sz w:val="18"/>
              </w:rPr>
              <w:t>5</w:t>
            </w:r>
          </w:p>
        </w:tc>
        <w:tc>
          <w:tcPr>
            <w:tcW w:type="dxa" w:w="1440"/>
          </w:tcPr>
          <w:p>
            <w:r>
              <w:rPr>
                <w:sz w:val="18"/>
              </w:rPr>
              <w:t>$2,250.00</w:t>
            </w:r>
          </w:p>
        </w:tc>
      </w:tr>
      <w:tr>
        <w:tc>
          <w:tcPr>
            <w:tcW w:type="dxa" w:w="1440"/>
          </w:tcPr>
          <w:p>
            <w:r>
              <w:rPr>
                <w:sz w:val="18"/>
              </w:rPr>
              <w:t>PB-100008</w:t>
            </w:r>
          </w:p>
        </w:tc>
        <w:tc>
          <w:tcPr>
            <w:tcW w:type="dxa" w:w="1440"/>
          </w:tcPr>
          <w:p>
            <w:r>
              <w:rPr>
                <w:sz w:val="18"/>
              </w:rPr>
              <w:t>2025-06-02</w:t>
            </w:r>
          </w:p>
        </w:tc>
        <w:tc>
          <w:tcPr>
            <w:tcW w:type="dxa" w:w="1440"/>
          </w:tcPr>
          <w:p>
            <w:r>
              <w:rPr>
                <w:sz w:val="18"/>
              </w:rPr>
              <w:t>Northwind Logistics</w:t>
            </w:r>
          </w:p>
        </w:tc>
        <w:tc>
          <w:tcPr>
            <w:tcW w:type="dxa" w:w="1440"/>
          </w:tcPr>
          <w:p>
            <w:r>
              <w:rPr>
                <w:sz w:val="18"/>
              </w:rPr>
              <w:t>Warehouse Scanner</w:t>
            </w:r>
          </w:p>
        </w:tc>
        <w:tc>
          <w:tcPr>
            <w:tcW w:type="dxa" w:w="1440"/>
          </w:tcPr>
          <w:p>
            <w:r>
              <w:rPr>
                <w:sz w:val="18"/>
              </w:rPr>
              <w:t>7</w:t>
            </w:r>
          </w:p>
        </w:tc>
        <w:tc>
          <w:tcPr>
            <w:tcW w:type="dxa" w:w="1440"/>
          </w:tcPr>
          <w:p>
            <w:r>
              <w:rPr>
                <w:sz w:val="18"/>
              </w:rPr>
              <w:t>$2,240.00</w:t>
            </w:r>
          </w:p>
        </w:tc>
      </w:tr>
    </w:tbl>
    <w:p>
      <w:r>
        <w:drawing>
          <wp:inline xmlns:a="http://schemas.openxmlformats.org/drawingml/2006/main" xmlns:pic="http://schemas.openxmlformats.org/drawingml/2006/picture">
            <wp:extent cx="5486400" cy="30861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mbed-d0-1200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1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t>Figure: embedded sample image.</w:t>
      </w:r>
    </w:p>
    <w:p>
      <w:r>
        <w:br w:type="page"/>
      </w:r>
    </w:p>
    <w:p>
      <w:pPr>
        <w:pStyle w:val="Heading1"/>
      </w:pPr>
      <w:r>
        <w:t>2. Section 2</w:t>
      </w:r>
    </w:p>
    <w:p>
      <w:r>
        <w:t>This is a sample document published by Pine &amp; Birch, a technology consulting firm in Toronto. It exists so that developers, QA testers, and product teams have a realistic file to use when testing uploads, previews, conversions, and integrations. Everything in it is fictional and free to use for any purpose.</w:t>
      </w:r>
    </w:p>
    <w:p>
      <w:r>
        <w:t>A good test document mixes the structures real users produce: headings at several levels, ordinary paragraphs, bulleted and numbered lists, a data table, an embedded image, and page breaks. Parsers and previewers that handle this file cleanly will handle most documents your customers upload.</w:t>
      </w:r>
    </w:p>
    <w:p>
      <w:pPr>
        <w:pStyle w:val="Heading2"/>
      </w:pPr>
      <w:r>
        <w:t>Key points</w:t>
      </w:r>
    </w:p>
    <w:p>
      <w:pPr>
        <w:pStyle w:val="ListBullet"/>
      </w:pPr>
      <w:r>
        <w:t>Realistic structure: headings, lists, tables, and images</w:t>
      </w:r>
    </w:p>
    <w:p>
      <w:pPr>
        <w:pStyle w:val="ListBullet"/>
      </w:pPr>
      <w:r>
        <w:t>Deterministic content — identical on every download</w:t>
      </w:r>
    </w:p>
    <w:p>
      <w:pPr>
        <w:pStyle w:val="ListBullet"/>
      </w:pPr>
      <w:r>
        <w:t>Unicode, smart quotes, and currency symbols included</w:t>
      </w:r>
    </w:p>
    <w:p>
      <w:pPr>
        <w:pStyle w:val="ListBullet"/>
      </w:pPr>
      <w:r>
        <w:t>No macros, no scripts, no tracking of any kind</w:t>
      </w:r>
    </w:p>
    <w:p>
      <w:pPr>
        <w:pStyle w:val="ListBullet"/>
      </w:pPr>
      <w:r>
        <w:t>Free for any use, no attribution required</w:t>
      </w:r>
    </w:p>
    <w:p>
      <w:pPr>
        <w:pStyle w:val="Heading2"/>
      </w:pPr>
      <w:r>
        <w:t>How to use this file</w:t>
      </w:r>
    </w:p>
    <w:p>
      <w:pPr>
        <w:pStyle w:val="ListNumber"/>
      </w:pPr>
      <w:r>
        <w:t>Download the file size that matches your test case.</w:t>
      </w:r>
    </w:p>
    <w:p>
      <w:pPr>
        <w:pStyle w:val="ListNumber"/>
      </w:pPr>
      <w:r>
        <w:t>Upload it to the system under test, or pass its path to your parser.</w:t>
      </w:r>
    </w:p>
    <w:p>
      <w:pPr>
        <w:pStyle w:val="ListNumber"/>
      </w:pPr>
      <w:r>
        <w:t>Compare the extracted text, page count, and metadata with the values shown on the download page.</w:t>
      </w:r>
    </w:p>
    <w:p>
      <w:pPr>
        <w:pStyle w:val="ListNumber"/>
      </w:pPr>
      <w:r>
        <w:t>Keep the file in your repository as a fixture; it will not change.</w:t>
      </w:r>
    </w:p>
    <w:p>
      <w:r>
        <w:t>The table below shows fictional quarterly figures for a small distribution company. Values are deterministic, so the same file downloaded twice is byte-for-byte identical, which makes it safe to use as a fixture in automated tests and checksums.</w:t>
      </w:r>
    </w:p>
    <w:p>
      <w:r>
        <w:t>When testing a document-processing pipeline, check the details that break silently: non-ASCII characters such as café, naïve, and Zürich; smart quotes like “this” and ‘that’; currency symbols (€, £, ¥); and long words that force line wrapping in narrow columns.</w:t>
      </w:r>
    </w:p>
    <w:p>
      <w:r>
        <w:t>Accessibility matters even in test data. This document uses real heading styles rather than bold text, so screen readers and converters can build a proper outline from it. The image includes alternative text, and the table has a header row.</w:t>
      </w:r>
    </w:p>
    <w:p>
      <w:r>
        <w:t>Nothing here should be treated as a template for legal, financial, or medical documents. It is a fixture — a stable, known input that lets you verify that the rest of your system behaves correctly.</w:t>
      </w:r>
    </w:p>
    <w:p>
      <w:r>
        <w:drawing>
          <wp:inline xmlns:a="http://schemas.openxmlformats.org/drawingml/2006/main" xmlns:pic="http://schemas.openxmlformats.org/drawingml/2006/picture">
            <wp:extent cx="5486400" cy="30861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mbed-d0-1200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1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t>Figure: embedded sample image.</w:t>
      </w:r>
    </w:p>
    <w:p>
      <w:r>
        <w:br w:type="page"/>
      </w:r>
    </w:p>
    <w:p>
      <w:pPr>
        <w:pStyle w:val="Heading1"/>
      </w:pPr>
      <w:r>
        <w:t>3. Section 3</w:t>
      </w:r>
    </w:p>
    <w:p>
      <w:r>
        <w:t>This is a sample document published by Pine &amp; Birch, a technology consulting firm in Toronto. It exists so that developers, QA testers, and product teams have a realistic file to use when testing uploads, previews, conversions, and integrations. Everything in it is fictional and free to use for any purpose.</w:t>
      </w:r>
    </w:p>
    <w:p>
      <w:r>
        <w:t>A good test document mixes the structures real users produce: headings at several levels, ordinary paragraphs, bulleted and numbered lists, a data table, an embedded image, and page breaks. Parsers and previewers that handle this file cleanly will handle most documents your customers upload.</w:t>
      </w:r>
    </w:p>
    <w:p>
      <w:pPr>
        <w:pStyle w:val="Heading2"/>
      </w:pPr>
      <w:r>
        <w:t>Key points</w:t>
      </w:r>
    </w:p>
    <w:p>
      <w:pPr>
        <w:pStyle w:val="ListBullet"/>
      </w:pPr>
      <w:r>
        <w:t>Realistic structure: headings, lists, tables, and images</w:t>
      </w:r>
    </w:p>
    <w:p>
      <w:pPr>
        <w:pStyle w:val="ListBullet"/>
      </w:pPr>
      <w:r>
        <w:t>Deterministic content — identical on every download</w:t>
      </w:r>
    </w:p>
    <w:p>
      <w:pPr>
        <w:pStyle w:val="ListBullet"/>
      </w:pPr>
      <w:r>
        <w:t>Unicode, smart quotes, and currency symbols included</w:t>
      </w:r>
    </w:p>
    <w:p>
      <w:pPr>
        <w:pStyle w:val="ListBullet"/>
      </w:pPr>
      <w:r>
        <w:t>No macros, no scripts, no tracking of any kind</w:t>
      </w:r>
    </w:p>
    <w:p>
      <w:pPr>
        <w:pStyle w:val="ListBullet"/>
      </w:pPr>
      <w:r>
        <w:t>Free for any use, no attribution required</w:t>
      </w:r>
    </w:p>
    <w:p>
      <w:pPr>
        <w:pStyle w:val="Heading2"/>
      </w:pPr>
      <w:r>
        <w:t>How to use this file</w:t>
      </w:r>
    </w:p>
    <w:p>
      <w:pPr>
        <w:pStyle w:val="ListNumber"/>
      </w:pPr>
      <w:r>
        <w:t>Download the file size that matches your test case.</w:t>
      </w:r>
    </w:p>
    <w:p>
      <w:pPr>
        <w:pStyle w:val="ListNumber"/>
      </w:pPr>
      <w:r>
        <w:t>Upload it to the system under test, or pass its path to your parser.</w:t>
      </w:r>
    </w:p>
    <w:p>
      <w:pPr>
        <w:pStyle w:val="ListNumber"/>
      </w:pPr>
      <w:r>
        <w:t>Compare the extracted text, page count, and metadata with the values shown on the download page.</w:t>
      </w:r>
    </w:p>
    <w:p>
      <w:pPr>
        <w:pStyle w:val="ListNumber"/>
      </w:pPr>
      <w:r>
        <w:t>Keep the file in your repository as a fixture; it will not change.</w:t>
      </w:r>
    </w:p>
    <w:p>
      <w:r>
        <w:t>The table below shows fictional quarterly figures for a small distribution company. Values are deterministic, so the same file downloaded twice is byte-for-byte identical, which makes it safe to use as a fixture in automated tests and checksums.</w:t>
      </w:r>
    </w:p>
    <w:p>
      <w:r>
        <w:t>When testing a document-processing pipeline, check the details that break silently: non-ASCII characters such as café, naïve, and Zürich; smart quotes like “this” and ‘that’; currency symbols (€, £, ¥); and long words that force line wrapping in narrow columns.</w:t>
      </w:r>
    </w:p>
    <w:p>
      <w:r>
        <w:t>Accessibility matters even in test data. This document uses real heading styles rather than bold text, so screen readers and converters can build a proper outline from it. The image includes alternative text, and the table has a header row.</w:t>
      </w:r>
    </w:p>
    <w:p>
      <w:r>
        <w:t>Nothing here should be treated as a template for legal, financial, or medical documents. It is a fixture — a stable, known input that lets you verify that the rest of your system behaves correctly.</w:t>
      </w:r>
    </w:p>
    <w:p>
      <w:r>
        <w:drawing>
          <wp:inline xmlns:a="http://schemas.openxmlformats.org/drawingml/2006/main" xmlns:pic="http://schemas.openxmlformats.org/drawingml/2006/picture">
            <wp:extent cx="5486400" cy="3086100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mbed-d0-1200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1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t>Figure: embedded sample image.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Pine &amp; Birch — Sample Business Document</dc:title>
  <dc:subject/>
  <dc:creator>Pine &amp; Birch</dc:creator>
  <cp:keywords/>
  <dc:description>pine-and-birch.com/sample-files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